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4FD" w:rsidRDefault="005962E2">
      <w:pPr>
        <w:spacing w:after="0"/>
        <w:rPr>
          <w:rFonts w:ascii="Arial" w:eastAsia="Arial" w:hAnsi="Arial" w:cs="Arial"/>
          <w:b/>
          <w:sz w:val="48"/>
          <w:szCs w:val="48"/>
        </w:rPr>
      </w:pPr>
      <w:r>
        <w:rPr>
          <w:noProof/>
          <w:lang w:val="en-US"/>
        </w:rPr>
        <w:drawing>
          <wp:anchor distT="0" distB="0" distL="0" distR="0" simplePos="0" relativeHeight="251658240" behindDoc="0" locked="0" layoutInCell="1" hidden="0" allowOverlap="1">
            <wp:simplePos x="0" y="0"/>
            <wp:positionH relativeFrom="margin">
              <wp:posOffset>332105</wp:posOffset>
            </wp:positionH>
            <wp:positionV relativeFrom="paragraph">
              <wp:posOffset>128271</wp:posOffset>
            </wp:positionV>
            <wp:extent cx="5996940" cy="2903266"/>
            <wp:effectExtent l="0" t="0" r="0" b="0"/>
            <wp:wrapSquare wrapText="bothSides" distT="0" distB="0" distL="0" distR="0"/>
            <wp:docPr id="7" name="image14.png" descr="C:\Users\user\Dropbox\TWENTY65 Management\Marketing\water-wallpaper-high-quality-resolution-045y.jpg"/>
            <wp:cNvGraphicFramePr/>
            <a:graphic xmlns:a="http://schemas.openxmlformats.org/drawingml/2006/main">
              <a:graphicData uri="http://schemas.openxmlformats.org/drawingml/2006/picture">
                <pic:pic xmlns:pic="http://schemas.openxmlformats.org/drawingml/2006/picture">
                  <pic:nvPicPr>
                    <pic:cNvPr id="0" name="image14.png" descr="C:\Users\user\Dropbox\TWENTY65 Management\Marketing\water-wallpaper-high-quality-resolution-045y.jpg"/>
                    <pic:cNvPicPr preferRelativeResize="0"/>
                  </pic:nvPicPr>
                  <pic:blipFill>
                    <a:blip r:embed="rId7"/>
                    <a:srcRect l="19678" t="28977" r="14253" b="13819"/>
                    <a:stretch>
                      <a:fillRect/>
                    </a:stretch>
                  </pic:blipFill>
                  <pic:spPr>
                    <a:xfrm>
                      <a:off x="0" y="0"/>
                      <a:ext cx="5996940" cy="2903266"/>
                    </a:xfrm>
                    <a:prstGeom prst="rect">
                      <a:avLst/>
                    </a:prstGeom>
                    <a:ln/>
                  </pic:spPr>
                </pic:pic>
              </a:graphicData>
            </a:graphic>
          </wp:anchor>
        </w:drawing>
      </w:r>
    </w:p>
    <w:p w:rsidR="00C934FD" w:rsidRDefault="00C934FD">
      <w:pPr>
        <w:spacing w:after="0"/>
        <w:rPr>
          <w:rFonts w:ascii="Arial" w:eastAsia="Arial" w:hAnsi="Arial" w:cs="Arial"/>
          <w:b/>
          <w:sz w:val="48"/>
          <w:szCs w:val="48"/>
        </w:rPr>
      </w:pPr>
    </w:p>
    <w:p w:rsidR="00C934FD" w:rsidRDefault="00C934FD">
      <w:pPr>
        <w:spacing w:after="0"/>
        <w:rPr>
          <w:rFonts w:ascii="Arial" w:eastAsia="Arial" w:hAnsi="Arial" w:cs="Arial"/>
          <w:b/>
          <w:sz w:val="48"/>
          <w:szCs w:val="48"/>
        </w:rPr>
      </w:pPr>
    </w:p>
    <w:p w:rsidR="00C934FD" w:rsidRDefault="00C934FD">
      <w:pPr>
        <w:spacing w:after="0"/>
        <w:rPr>
          <w:rFonts w:ascii="Arial" w:eastAsia="Arial" w:hAnsi="Arial" w:cs="Arial"/>
          <w:b/>
          <w:sz w:val="48"/>
          <w:szCs w:val="48"/>
        </w:rPr>
      </w:pPr>
    </w:p>
    <w:p w:rsidR="00C934FD" w:rsidRDefault="005962E2">
      <w:pPr>
        <w:spacing w:after="0"/>
        <w:jc w:val="center"/>
        <w:rPr>
          <w:rFonts w:ascii="Arial" w:eastAsia="Arial" w:hAnsi="Arial" w:cs="Arial"/>
          <w:b/>
          <w:sz w:val="48"/>
          <w:szCs w:val="48"/>
        </w:rPr>
      </w:pPr>
      <w:r>
        <w:rPr>
          <w:rFonts w:ascii="Arial" w:eastAsia="Arial" w:hAnsi="Arial" w:cs="Arial"/>
          <w:b/>
          <w:sz w:val="48"/>
          <w:szCs w:val="48"/>
        </w:rPr>
        <w:t>Thought Leadership Club Workshop</w:t>
      </w:r>
    </w:p>
    <w:p w:rsidR="00C934FD" w:rsidRDefault="005962E2">
      <w:pPr>
        <w:spacing w:after="0"/>
        <w:jc w:val="center"/>
        <w:rPr>
          <w:rFonts w:ascii="Arial" w:eastAsia="Arial" w:hAnsi="Arial" w:cs="Arial"/>
          <w:b/>
          <w:sz w:val="24"/>
          <w:szCs w:val="24"/>
        </w:rPr>
      </w:pPr>
      <w:r>
        <w:rPr>
          <w:rFonts w:ascii="Arial" w:eastAsia="Arial" w:hAnsi="Arial" w:cs="Arial"/>
          <w:b/>
          <w:sz w:val="48"/>
          <w:szCs w:val="48"/>
        </w:rPr>
        <w:t>Planning For Water</w:t>
      </w:r>
    </w:p>
    <w:p w:rsidR="00C934FD" w:rsidRDefault="00C934FD">
      <w:pPr>
        <w:spacing w:after="0"/>
        <w:ind w:right="-142"/>
        <w:jc w:val="center"/>
        <w:rPr>
          <w:rFonts w:ascii="Arial" w:eastAsia="Arial" w:hAnsi="Arial" w:cs="Arial"/>
          <w:b/>
          <w:i/>
          <w:sz w:val="28"/>
          <w:szCs w:val="28"/>
        </w:rPr>
      </w:pPr>
    </w:p>
    <w:p w:rsidR="00C934FD" w:rsidRDefault="005962E2">
      <w:pPr>
        <w:spacing w:after="0"/>
        <w:ind w:right="-142"/>
        <w:jc w:val="center"/>
        <w:rPr>
          <w:rFonts w:ascii="Arial" w:eastAsia="Arial" w:hAnsi="Arial" w:cs="Arial"/>
          <w:b/>
          <w:sz w:val="28"/>
          <w:szCs w:val="28"/>
        </w:rPr>
      </w:pPr>
      <w:r>
        <w:rPr>
          <w:rFonts w:ascii="Arial" w:eastAsia="Arial" w:hAnsi="Arial" w:cs="Arial"/>
          <w:b/>
          <w:i/>
          <w:sz w:val="28"/>
          <w:szCs w:val="28"/>
        </w:rPr>
        <w:t>Workshop:  Tuesday 23rd January 2018, 14:00 – 16:00</w:t>
      </w:r>
    </w:p>
    <w:p w:rsidR="00C934FD" w:rsidRDefault="005962E2">
      <w:pPr>
        <w:spacing w:after="0"/>
        <w:ind w:right="-142"/>
        <w:jc w:val="center"/>
        <w:rPr>
          <w:sz w:val="32"/>
          <w:szCs w:val="32"/>
        </w:rPr>
      </w:pPr>
      <w:r>
        <w:rPr>
          <w:sz w:val="32"/>
          <w:szCs w:val="32"/>
        </w:rPr>
        <w:t>Venue: John Pemberton Suite, Regents Court, University of Sheffield, S1 3JD</w:t>
      </w:r>
    </w:p>
    <w:p w:rsidR="00C934FD" w:rsidRDefault="00C934FD">
      <w:pPr>
        <w:spacing w:after="0"/>
        <w:ind w:right="-142"/>
      </w:pPr>
    </w:p>
    <w:p w:rsidR="00C934FD" w:rsidRDefault="00C934FD">
      <w:pPr>
        <w:spacing w:after="0"/>
        <w:ind w:right="-142"/>
      </w:pPr>
    </w:p>
    <w:p w:rsidR="00C934FD" w:rsidRDefault="005962E2">
      <w:pPr>
        <w:spacing w:before="4" w:after="0" w:line="239" w:lineRule="auto"/>
        <w:ind w:right="4536"/>
        <w:rPr>
          <w:b/>
          <w:sz w:val="28"/>
          <w:szCs w:val="28"/>
        </w:rPr>
      </w:pPr>
      <w:r>
        <w:rPr>
          <w:b/>
          <w:sz w:val="28"/>
          <w:szCs w:val="28"/>
        </w:rPr>
        <w:t>This meeting involves a partnership between the Town and Country Planning Association’s Raynsford Review of Planning, TWENTY65 and BEGIN to bring an opportunity for stakeholders concerned about water management to contribute to the Raynsford Review 2018.</w:t>
      </w:r>
      <w:r>
        <w:rPr>
          <w:noProof/>
          <w:lang w:val="en-US"/>
        </w:rPr>
        <mc:AlternateContent>
          <mc:Choice Requires="wps">
            <w:drawing>
              <wp:anchor distT="0" distB="0" distL="114300" distR="114300" simplePos="0" relativeHeight="251659264" behindDoc="0" locked="0" layoutInCell="1" hidden="0" allowOverlap="1">
                <wp:simplePos x="0" y="0"/>
                <wp:positionH relativeFrom="margin">
                  <wp:posOffset>3848100</wp:posOffset>
                </wp:positionH>
                <wp:positionV relativeFrom="paragraph">
                  <wp:posOffset>28575</wp:posOffset>
                </wp:positionV>
                <wp:extent cx="3086100" cy="4345781"/>
                <wp:effectExtent l="0" t="0" r="0" b="0"/>
                <wp:wrapNone/>
                <wp:docPr id="8" name="Rectangle 8"/>
                <wp:cNvGraphicFramePr/>
                <a:graphic xmlns:a="http://schemas.openxmlformats.org/drawingml/2006/main">
                  <a:graphicData uri="http://schemas.microsoft.com/office/word/2010/wordprocessingShape">
                    <wps:wsp>
                      <wps:cNvSpPr/>
                      <wps:spPr>
                        <a:xfrm>
                          <a:off x="3806750" y="2404600"/>
                          <a:ext cx="3078600" cy="4456200"/>
                        </a:xfrm>
                        <a:prstGeom prst="rect">
                          <a:avLst/>
                        </a:prstGeom>
                        <a:gradFill>
                          <a:gsLst>
                            <a:gs pos="0">
                              <a:srgbClr val="B6DDE7"/>
                            </a:gs>
                            <a:gs pos="100000">
                              <a:schemeClr val="lt1"/>
                            </a:gs>
                          </a:gsLst>
                          <a:lin ang="5400000" scaled="0"/>
                        </a:gradFill>
                        <a:ln>
                          <a:noFill/>
                        </a:ln>
                      </wps:spPr>
                      <wps:txbx>
                        <w:txbxContent>
                          <w:p w:rsidR="00C934FD" w:rsidRDefault="005962E2">
                            <w:pPr>
                              <w:spacing w:after="0" w:line="240" w:lineRule="auto"/>
                              <w:ind w:right="-20"/>
                              <w:textDirection w:val="btLr"/>
                            </w:pPr>
                            <w:r>
                              <w:rPr>
                                <w:b/>
                                <w:sz w:val="28"/>
                              </w:rPr>
                              <w:t>Join us to:</w:t>
                            </w:r>
                          </w:p>
                          <w:p w:rsidR="00C934FD" w:rsidRDefault="00C934FD">
                            <w:pPr>
                              <w:spacing w:before="3" w:after="0" w:line="180" w:lineRule="auto"/>
                              <w:textDirection w:val="btLr"/>
                            </w:pPr>
                          </w:p>
                          <w:p w:rsidR="00C934FD" w:rsidRDefault="005962E2">
                            <w:pPr>
                              <w:spacing w:after="0" w:line="238" w:lineRule="auto"/>
                              <w:ind w:left="200" w:right="63"/>
                              <w:textDirection w:val="btLr"/>
                            </w:pPr>
                            <w:r>
                              <w:rPr>
                                <w:sz w:val="28"/>
                              </w:rPr>
                              <w:t xml:space="preserve">Contribute your perspectives and opinions on the effects of heavily deregulated planning and </w:t>
                            </w:r>
                            <w:r>
                              <w:rPr>
                                <w:color w:val="222222"/>
                                <w:sz w:val="28"/>
                              </w:rPr>
                              <w:t xml:space="preserve">how we can deliver better </w:t>
                            </w:r>
                            <w:proofErr w:type="spellStart"/>
                            <w:r>
                              <w:rPr>
                                <w:color w:val="222222"/>
                                <w:sz w:val="28"/>
                              </w:rPr>
                              <w:t>placemaking</w:t>
                            </w:r>
                            <w:proofErr w:type="spellEnd"/>
                            <w:r>
                              <w:rPr>
                                <w:color w:val="222222"/>
                                <w:sz w:val="28"/>
                              </w:rPr>
                              <w:t>.</w:t>
                            </w:r>
                          </w:p>
                          <w:p w:rsidR="00C934FD" w:rsidRDefault="00C934FD">
                            <w:pPr>
                              <w:spacing w:after="0" w:line="238" w:lineRule="auto"/>
                              <w:ind w:right="63"/>
                              <w:textDirection w:val="btLr"/>
                            </w:pPr>
                          </w:p>
                          <w:p w:rsidR="00C934FD" w:rsidRDefault="005962E2">
                            <w:pPr>
                              <w:spacing w:after="0" w:line="239" w:lineRule="auto"/>
                              <w:ind w:left="200" w:right="63"/>
                              <w:textDirection w:val="btLr"/>
                            </w:pPr>
                            <w:r>
                              <w:rPr>
                                <w:sz w:val="28"/>
                              </w:rPr>
                              <w:t xml:space="preserve">Be part of the collaboration informing the </w:t>
                            </w:r>
                            <w:r>
                              <w:rPr>
                                <w:sz w:val="28"/>
                              </w:rPr>
                              <w:t>Raynsford Review 2018, ensuring the evaluations of the UK water sector are included, informing the next 50 years and beyond.</w:t>
                            </w:r>
                          </w:p>
                          <w:p w:rsidR="00C934FD" w:rsidRDefault="00C934FD">
                            <w:pPr>
                              <w:spacing w:after="0" w:line="240" w:lineRule="auto"/>
                              <w:textDirection w:val="btLr"/>
                            </w:pPr>
                          </w:p>
                          <w:p w:rsidR="00C934FD" w:rsidRDefault="005962E2">
                            <w:pPr>
                              <w:spacing w:after="0" w:line="239" w:lineRule="auto"/>
                              <w:ind w:left="200" w:right="63"/>
                              <w:textDirection w:val="btLr"/>
                            </w:pPr>
                            <w:r>
                              <w:rPr>
                                <w:sz w:val="28"/>
                              </w:rPr>
                              <w:t>Network with academics, supply chain companies, policy makers, water companies, and trade associations</w:t>
                            </w:r>
                          </w:p>
                          <w:p w:rsidR="00C934FD" w:rsidRDefault="00C934FD">
                            <w:pPr>
                              <w:spacing w:before="8" w:after="0" w:line="180" w:lineRule="auto"/>
                              <w:textDirection w:val="btLr"/>
                            </w:pPr>
                          </w:p>
                          <w:p w:rsidR="00C934FD" w:rsidRDefault="005962E2">
                            <w:pPr>
                              <w:spacing w:after="0" w:line="239" w:lineRule="auto"/>
                              <w:ind w:left="200" w:right="63"/>
                              <w:textDirection w:val="btLr"/>
                            </w:pPr>
                            <w:r>
                              <w:rPr>
                                <w:sz w:val="28"/>
                              </w:rPr>
                              <w:t>Identify further opportuni</w:t>
                            </w:r>
                            <w:r>
                              <w:rPr>
                                <w:sz w:val="28"/>
                              </w:rPr>
                              <w:t>ties to get involved in the TWENTY65 research consortium and its activities</w:t>
                            </w:r>
                          </w:p>
                          <w:p w:rsidR="00C934FD" w:rsidRDefault="00C934FD">
                            <w:pPr>
                              <w:spacing w:line="275" w:lineRule="auto"/>
                              <w:textDirection w:val="btLr"/>
                            </w:pPr>
                          </w:p>
                        </w:txbxContent>
                      </wps:txbx>
                      <wps:bodyPr wrap="square" lIns="91425" tIns="45700" rIns="91425" bIns="45700" anchor="t" anchorCtr="0"/>
                    </wps:wsp>
                  </a:graphicData>
                </a:graphic>
              </wp:anchor>
            </w:drawing>
          </mc:Choice>
          <mc:Fallback>
            <w:pict>
              <v:rect id="Rectangle 8" o:spid="_x0000_s1026" style="position:absolute;margin-left:303pt;margin-top:2.25pt;width:243pt;height:342.2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" fillcolor="#b6dde7" stroked="f">
                <v:fill color2="white [3201]" focus="100%" type="gradient">
                  <o:fill v:ext="view" type="gradientUnscaled"/>
                </v:fill>
                <v:textbox inset="2.53958mm,1.2694mm,2.53958mm,1.2694mm">
                  <w:txbxContent>
                    <w:p w:rsidR="00C934FD" w:rsidRDefault="005962E2">
                      <w:pPr>
                        <w:spacing w:after="0" w:line="240" w:lineRule="auto"/>
                        <w:ind w:right="-20"/>
                        <w:textDirection w:val="btLr"/>
                      </w:pPr>
                      <w:r>
                        <w:rPr>
                          <w:b/>
                          <w:sz w:val="28"/>
                        </w:rPr>
                        <w:t>Join us to:</w:t>
                      </w:r>
                    </w:p>
                    <w:p w:rsidR="00C934FD" w:rsidRDefault="00C934FD">
                      <w:pPr>
                        <w:spacing w:before="3" w:after="0" w:line="180" w:lineRule="auto"/>
                        <w:textDirection w:val="btLr"/>
                      </w:pPr>
                    </w:p>
                    <w:p w:rsidR="00C934FD" w:rsidRDefault="005962E2">
                      <w:pPr>
                        <w:spacing w:after="0" w:line="238" w:lineRule="auto"/>
                        <w:ind w:left="200" w:right="63"/>
                        <w:textDirection w:val="btLr"/>
                      </w:pPr>
                      <w:r>
                        <w:rPr>
                          <w:sz w:val="28"/>
                        </w:rPr>
                        <w:t xml:space="preserve">Contribute your perspectives and opinions on the effects of heavily deregulated planning and </w:t>
                      </w:r>
                      <w:r>
                        <w:rPr>
                          <w:color w:val="222222"/>
                          <w:sz w:val="28"/>
                        </w:rPr>
                        <w:t xml:space="preserve">how we can deliver better </w:t>
                      </w:r>
                      <w:proofErr w:type="spellStart"/>
                      <w:r>
                        <w:rPr>
                          <w:color w:val="222222"/>
                          <w:sz w:val="28"/>
                        </w:rPr>
                        <w:t>placemaking</w:t>
                      </w:r>
                      <w:proofErr w:type="spellEnd"/>
                      <w:r>
                        <w:rPr>
                          <w:color w:val="222222"/>
                          <w:sz w:val="28"/>
                        </w:rPr>
                        <w:t>.</w:t>
                      </w:r>
                    </w:p>
                    <w:p w:rsidR="00C934FD" w:rsidRDefault="00C934FD">
                      <w:pPr>
                        <w:spacing w:after="0" w:line="238" w:lineRule="auto"/>
                        <w:ind w:right="63"/>
                        <w:textDirection w:val="btLr"/>
                      </w:pPr>
                    </w:p>
                    <w:p w:rsidR="00C934FD" w:rsidRDefault="005962E2">
                      <w:pPr>
                        <w:spacing w:after="0" w:line="239" w:lineRule="auto"/>
                        <w:ind w:left="200" w:right="63"/>
                        <w:textDirection w:val="btLr"/>
                      </w:pPr>
                      <w:r>
                        <w:rPr>
                          <w:sz w:val="28"/>
                        </w:rPr>
                        <w:t xml:space="preserve">Be part of the collaboration informing the </w:t>
                      </w:r>
                      <w:r>
                        <w:rPr>
                          <w:sz w:val="28"/>
                        </w:rPr>
                        <w:t>Raynsford Review 2018, ensuring the evaluations of the UK water sector are included, informing the next 50 years and beyond.</w:t>
                      </w:r>
                    </w:p>
                    <w:p w:rsidR="00C934FD" w:rsidRDefault="00C934FD">
                      <w:pPr>
                        <w:spacing w:after="0" w:line="240" w:lineRule="auto"/>
                        <w:textDirection w:val="btLr"/>
                      </w:pPr>
                    </w:p>
                    <w:p w:rsidR="00C934FD" w:rsidRDefault="005962E2">
                      <w:pPr>
                        <w:spacing w:after="0" w:line="239" w:lineRule="auto"/>
                        <w:ind w:left="200" w:right="63"/>
                        <w:textDirection w:val="btLr"/>
                      </w:pPr>
                      <w:r>
                        <w:rPr>
                          <w:sz w:val="28"/>
                        </w:rPr>
                        <w:t>Network with academics, supply chain companies, policy makers, water companies, and trade associations</w:t>
                      </w:r>
                    </w:p>
                    <w:p w:rsidR="00C934FD" w:rsidRDefault="00C934FD">
                      <w:pPr>
                        <w:spacing w:before="8" w:after="0" w:line="180" w:lineRule="auto"/>
                        <w:textDirection w:val="btLr"/>
                      </w:pPr>
                    </w:p>
                    <w:p w:rsidR="00C934FD" w:rsidRDefault="005962E2">
                      <w:pPr>
                        <w:spacing w:after="0" w:line="239" w:lineRule="auto"/>
                        <w:ind w:left="200" w:right="63"/>
                        <w:textDirection w:val="btLr"/>
                      </w:pPr>
                      <w:r>
                        <w:rPr>
                          <w:sz w:val="28"/>
                        </w:rPr>
                        <w:t>Identify further opportuni</w:t>
                      </w:r>
                      <w:r>
                        <w:rPr>
                          <w:sz w:val="28"/>
                        </w:rPr>
                        <w:t>ties to get involved in the TWENTY65 research consortium and its activities</w:t>
                      </w:r>
                    </w:p>
                    <w:p w:rsidR="00C934FD" w:rsidRDefault="00C934FD">
                      <w:pPr>
                        <w:spacing w:line="275" w:lineRule="auto"/>
                        <w:textDirection w:val="btLr"/>
                      </w:pPr>
                    </w:p>
                  </w:txbxContent>
                </v:textbox>
                <w10:wrap anchorx="margin"/>
              </v:rect>
            </w:pict>
          </mc:Fallback>
        </mc:AlternateContent>
      </w:r>
    </w:p>
    <w:p w:rsidR="00C934FD" w:rsidRDefault="00C934FD">
      <w:pPr>
        <w:spacing w:before="4" w:after="0" w:line="239" w:lineRule="auto"/>
        <w:ind w:right="4536"/>
        <w:rPr>
          <w:b/>
          <w:sz w:val="28"/>
          <w:szCs w:val="28"/>
        </w:rPr>
      </w:pPr>
    </w:p>
    <w:p w:rsidR="00C934FD" w:rsidRDefault="005962E2">
      <w:pPr>
        <w:spacing w:before="4" w:after="0" w:line="239" w:lineRule="auto"/>
        <w:ind w:right="4536"/>
        <w:rPr>
          <w:b/>
          <w:sz w:val="28"/>
          <w:szCs w:val="28"/>
        </w:rPr>
      </w:pPr>
      <w:r>
        <w:rPr>
          <w:b/>
          <w:sz w:val="28"/>
          <w:szCs w:val="28"/>
        </w:rPr>
        <w:t>Who is this Thought Leadership Club for?</w:t>
      </w:r>
    </w:p>
    <w:p w:rsidR="00C934FD" w:rsidRDefault="00C934FD">
      <w:pPr>
        <w:spacing w:before="4" w:after="0" w:line="239" w:lineRule="auto"/>
        <w:ind w:right="4536"/>
        <w:rPr>
          <w:b/>
          <w:sz w:val="28"/>
          <w:szCs w:val="28"/>
        </w:rPr>
      </w:pPr>
    </w:p>
    <w:p w:rsidR="00C934FD" w:rsidRDefault="005962E2">
      <w:pPr>
        <w:spacing w:before="4" w:after="0" w:line="239" w:lineRule="auto"/>
        <w:ind w:right="4536"/>
        <w:rPr>
          <w:sz w:val="28"/>
          <w:szCs w:val="28"/>
        </w:rPr>
      </w:pPr>
      <w:r>
        <w:rPr>
          <w:sz w:val="28"/>
          <w:szCs w:val="28"/>
        </w:rPr>
        <w:t>Stakeholders with an interest in how water is managed seeking to explore:</w:t>
      </w:r>
    </w:p>
    <w:p w:rsidR="00C934FD" w:rsidRDefault="005962E2">
      <w:pPr>
        <w:numPr>
          <w:ilvl w:val="0"/>
          <w:numId w:val="1"/>
        </w:numPr>
        <w:spacing w:before="4" w:after="0" w:line="239" w:lineRule="auto"/>
        <w:ind w:right="4536"/>
        <w:contextualSpacing/>
        <w:rPr>
          <w:sz w:val="28"/>
          <w:szCs w:val="28"/>
        </w:rPr>
      </w:pPr>
      <w:r>
        <w:rPr>
          <w:sz w:val="28"/>
          <w:szCs w:val="28"/>
        </w:rPr>
        <w:t>How the current land use planning system support / hinder goo</w:t>
      </w:r>
      <w:r>
        <w:rPr>
          <w:sz w:val="28"/>
          <w:szCs w:val="28"/>
        </w:rPr>
        <w:t>d water management at present?</w:t>
      </w:r>
    </w:p>
    <w:p w:rsidR="00C934FD" w:rsidRDefault="005962E2">
      <w:pPr>
        <w:numPr>
          <w:ilvl w:val="0"/>
          <w:numId w:val="1"/>
        </w:numPr>
        <w:spacing w:before="4" w:after="0" w:line="239" w:lineRule="auto"/>
        <w:ind w:right="4536"/>
        <w:contextualSpacing/>
        <w:rPr>
          <w:sz w:val="28"/>
          <w:szCs w:val="28"/>
        </w:rPr>
      </w:pPr>
      <w:r>
        <w:rPr>
          <w:sz w:val="28"/>
          <w:szCs w:val="28"/>
        </w:rPr>
        <w:lastRenderedPageBreak/>
        <w:t>If future land-use planning is to support sustainable water management, what powers would it have and how would it work?</w:t>
      </w:r>
    </w:p>
    <w:p w:rsidR="00C934FD" w:rsidRDefault="005962E2">
      <w:pPr>
        <w:numPr>
          <w:ilvl w:val="0"/>
          <w:numId w:val="1"/>
        </w:numPr>
        <w:spacing w:after="160" w:line="239" w:lineRule="auto"/>
        <w:contextualSpacing/>
        <w:rPr>
          <w:color w:val="222222"/>
          <w:sz w:val="28"/>
          <w:szCs w:val="28"/>
        </w:rPr>
      </w:pPr>
      <w:r>
        <w:rPr>
          <w:color w:val="222222"/>
          <w:sz w:val="28"/>
          <w:szCs w:val="28"/>
        </w:rPr>
        <w:t>All those interested in the built environment.</w:t>
      </w:r>
    </w:p>
    <w:p w:rsidR="00766436" w:rsidRDefault="005962E2">
      <w:pPr>
        <w:spacing w:before="4" w:after="0" w:line="239" w:lineRule="auto"/>
        <w:ind w:right="4536"/>
        <w:rPr>
          <w:sz w:val="28"/>
          <w:szCs w:val="28"/>
        </w:rPr>
      </w:pPr>
      <w:r>
        <w:rPr>
          <w:sz w:val="28"/>
          <w:szCs w:val="28"/>
        </w:rPr>
        <w:t xml:space="preserve"> </w:t>
      </w:r>
    </w:p>
    <w:p w:rsidR="00C934FD" w:rsidRDefault="005962E2">
      <w:pPr>
        <w:spacing w:before="4" w:after="0" w:line="239" w:lineRule="auto"/>
        <w:ind w:right="4536"/>
        <w:rPr>
          <w:sz w:val="28"/>
          <w:szCs w:val="28"/>
        </w:rPr>
      </w:pPr>
      <w:r>
        <w:rPr>
          <w:b/>
          <w:sz w:val="28"/>
          <w:szCs w:val="28"/>
        </w:rPr>
        <w:t xml:space="preserve">What is this Meeting about?                            </w:t>
      </w:r>
      <w:r>
        <w:rPr>
          <w:b/>
          <w:sz w:val="28"/>
          <w:szCs w:val="28"/>
        </w:rPr>
        <w:t xml:space="preserve">                                                     </w:t>
      </w:r>
      <w:r>
        <w:rPr>
          <w:sz w:val="28"/>
          <w:szCs w:val="28"/>
        </w:rPr>
        <w:t>Flood Risk Management Plans, Water Resource Management Plans and River Basin Management Plans provide a plethora of processes through which organisations plan how to manage water.  But water cannot be ma</w:t>
      </w:r>
      <w:r>
        <w:rPr>
          <w:sz w:val="28"/>
          <w:szCs w:val="28"/>
        </w:rPr>
        <w:t>naged in isolation from the land and properties it flows across, over and through.  How could or should land use planning help deliver better and more sustainable water systems?</w:t>
      </w:r>
      <w:r>
        <w:rPr>
          <w:noProof/>
          <w:lang w:val="en-US"/>
        </w:rPr>
        <w:drawing>
          <wp:anchor distT="114300" distB="114300" distL="114300" distR="114300" simplePos="0" relativeHeight="251661312" behindDoc="0" locked="0" layoutInCell="1" hidden="0" allowOverlap="1">
            <wp:simplePos x="0" y="0"/>
            <wp:positionH relativeFrom="margin">
              <wp:posOffset>3936047</wp:posOffset>
            </wp:positionH>
            <wp:positionV relativeFrom="paragraph">
              <wp:posOffset>0</wp:posOffset>
            </wp:positionV>
            <wp:extent cx="2636203" cy="2809875"/>
            <wp:effectExtent l="0" t="0" r="0" b="0"/>
            <wp:wrapSquare wrapText="bothSides" distT="114300" distB="11430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636203" cy="2809875"/>
                    </a:xfrm>
                    <a:prstGeom prst="rect">
                      <a:avLst/>
                    </a:prstGeom>
                    <a:ln/>
                  </pic:spPr>
                </pic:pic>
              </a:graphicData>
            </a:graphic>
          </wp:anchor>
        </w:drawing>
      </w:r>
    </w:p>
    <w:p w:rsidR="00C934FD" w:rsidRDefault="005962E2">
      <w:pPr>
        <w:spacing w:before="4" w:after="0" w:line="239" w:lineRule="auto"/>
        <w:ind w:right="4536"/>
        <w:rPr>
          <w:b/>
          <w:sz w:val="28"/>
          <w:szCs w:val="28"/>
        </w:rPr>
      </w:pPr>
      <w:r>
        <w:rPr>
          <w:b/>
          <w:sz w:val="28"/>
          <w:szCs w:val="28"/>
        </w:rPr>
        <w:t xml:space="preserve"> </w:t>
      </w:r>
    </w:p>
    <w:p w:rsidR="00C934FD" w:rsidRDefault="005962E2">
      <w:pPr>
        <w:spacing w:before="4" w:after="0" w:line="239" w:lineRule="auto"/>
        <w:ind w:right="4536"/>
        <w:rPr>
          <w:b/>
          <w:sz w:val="28"/>
          <w:szCs w:val="28"/>
        </w:rPr>
      </w:pPr>
      <w:r>
        <w:rPr>
          <w:b/>
          <w:sz w:val="28"/>
          <w:szCs w:val="28"/>
        </w:rPr>
        <w:t>Why now?</w:t>
      </w:r>
    </w:p>
    <w:p w:rsidR="00C934FD" w:rsidRDefault="005962E2">
      <w:pPr>
        <w:shd w:val="clear" w:color="auto" w:fill="FFFFFF"/>
        <w:spacing w:after="160" w:line="239" w:lineRule="auto"/>
        <w:rPr>
          <w:b/>
          <w:color w:val="222222"/>
          <w:sz w:val="28"/>
          <w:szCs w:val="28"/>
        </w:rPr>
      </w:pPr>
      <w:r>
        <w:rPr>
          <w:b/>
          <w:color w:val="222222"/>
          <w:sz w:val="28"/>
          <w:szCs w:val="28"/>
        </w:rPr>
        <w:t>England is still becoming acquainted with a heavily deregulated pl</w:t>
      </w:r>
      <w:r>
        <w:rPr>
          <w:b/>
          <w:color w:val="222222"/>
          <w:sz w:val="28"/>
          <w:szCs w:val="28"/>
        </w:rPr>
        <w:t xml:space="preserve">anning system. Since 2010, when planning legislation was first relaxed to accommodate housing growth, there </w:t>
      </w:r>
      <w:proofErr w:type="gramStart"/>
      <w:r>
        <w:rPr>
          <w:b/>
          <w:color w:val="222222"/>
          <w:sz w:val="28"/>
          <w:szCs w:val="28"/>
        </w:rPr>
        <w:t>have</w:t>
      </w:r>
      <w:proofErr w:type="gramEnd"/>
      <w:r>
        <w:rPr>
          <w:b/>
          <w:color w:val="222222"/>
          <w:sz w:val="28"/>
          <w:szCs w:val="28"/>
        </w:rPr>
        <w:t xml:space="preserve"> been complaints from both the private and public sector that the system is unsustainable.</w:t>
      </w:r>
    </w:p>
    <w:p w:rsidR="00766436" w:rsidRDefault="00766436">
      <w:pPr>
        <w:shd w:val="clear" w:color="auto" w:fill="FFFFFF"/>
        <w:spacing w:after="160" w:line="239" w:lineRule="auto"/>
        <w:rPr>
          <w:sz w:val="28"/>
          <w:szCs w:val="28"/>
        </w:rPr>
      </w:pPr>
      <w:r>
        <w:rPr>
          <w:noProof/>
          <w:lang w:val="en-US"/>
        </w:rPr>
        <w:drawing>
          <wp:anchor distT="114300" distB="114300" distL="114300" distR="114300" simplePos="0" relativeHeight="251661312" behindDoc="0" locked="0" layoutInCell="1" hidden="0" allowOverlap="1" wp14:anchorId="2C2D159A" wp14:editId="58A28438">
            <wp:simplePos x="0" y="0"/>
            <wp:positionH relativeFrom="margin">
              <wp:posOffset>-2540</wp:posOffset>
            </wp:positionH>
            <wp:positionV relativeFrom="paragraph">
              <wp:posOffset>2457450</wp:posOffset>
            </wp:positionV>
            <wp:extent cx="6657975" cy="1590675"/>
            <wp:effectExtent l="0" t="0" r="9525" b="9525"/>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6657975" cy="1590675"/>
                    </a:xfrm>
                    <a:prstGeom prst="rect">
                      <a:avLst/>
                    </a:prstGeom>
                    <a:ln/>
                  </pic:spPr>
                </pic:pic>
              </a:graphicData>
            </a:graphic>
            <wp14:sizeRelH relativeFrom="margin">
              <wp14:pctWidth>0</wp14:pctWidth>
            </wp14:sizeRelH>
            <wp14:sizeRelV relativeFrom="margin">
              <wp14:pctHeight>0</wp14:pctHeight>
            </wp14:sizeRelV>
          </wp:anchor>
        </w:drawing>
      </w:r>
      <w:r w:rsidR="005962E2">
        <w:rPr>
          <w:sz w:val="28"/>
          <w:szCs w:val="28"/>
        </w:rPr>
        <w:t>The UK Town and Country Planning Association has instituted t</w:t>
      </w:r>
      <w:r w:rsidR="005962E2">
        <w:rPr>
          <w:b/>
          <w:color w:val="222222"/>
          <w:sz w:val="28"/>
          <w:szCs w:val="28"/>
        </w:rPr>
        <w:t xml:space="preserve">he Raynsford Review seeking to provide practical and comprehensive policy guidance to overcome these issues in a way that is mutually beneficial to all stakeholders.  </w:t>
      </w:r>
      <w:r w:rsidR="005962E2">
        <w:rPr>
          <w:color w:val="222222"/>
          <w:sz w:val="28"/>
          <w:szCs w:val="28"/>
        </w:rPr>
        <w:t>The review seeks to i</w:t>
      </w:r>
      <w:r w:rsidR="005962E2">
        <w:rPr>
          <w:sz w:val="28"/>
          <w:szCs w:val="28"/>
        </w:rPr>
        <w:t>dentify</w:t>
      </w:r>
      <w:r w:rsidR="005962E2">
        <w:rPr>
          <w:sz w:val="28"/>
          <w:szCs w:val="28"/>
        </w:rPr>
        <w:t xml:space="preserve"> “how the Government can reform the English planning system to make it fairer, better resourced and capable of producing quality outcomes, while still encouraging the production of new homes”.  Chaired by former labour planning minister Nick Raynsford, the</w:t>
      </w:r>
      <w:r w:rsidR="005962E2">
        <w:rPr>
          <w:sz w:val="28"/>
          <w:szCs w:val="28"/>
        </w:rPr>
        <w:t xml:space="preserve"> review has been collating evidence since June 2017 with the aim of generating a report to bring to all party conferences in 2018. </w:t>
      </w:r>
      <w:r w:rsidR="005962E2">
        <w:rPr>
          <w:b/>
          <w:sz w:val="28"/>
          <w:szCs w:val="28"/>
        </w:rPr>
        <w:t xml:space="preserve">(See https://www.tcpa.org.uk/raynsford-review for more details). </w:t>
      </w:r>
      <w:r w:rsidR="005962E2">
        <w:rPr>
          <w:sz w:val="28"/>
          <w:szCs w:val="28"/>
        </w:rPr>
        <w:t>This thought leadership club offers the opportunity for wate</w:t>
      </w:r>
      <w:r w:rsidR="005962E2">
        <w:rPr>
          <w:sz w:val="28"/>
          <w:szCs w:val="28"/>
        </w:rPr>
        <w:t>r sector professionals and activists to contribute to this far reaching review of the UK’s land-use planning system.</w:t>
      </w:r>
      <w:bookmarkStart w:id="0" w:name="_GoBack"/>
      <w:bookmarkEnd w:id="0"/>
    </w:p>
    <w:p w:rsidR="00C934FD" w:rsidRDefault="005962E2">
      <w:pPr>
        <w:shd w:val="clear" w:color="auto" w:fill="FFFFFF"/>
        <w:spacing w:after="160" w:line="239" w:lineRule="auto"/>
        <w:rPr>
          <w:sz w:val="28"/>
          <w:szCs w:val="28"/>
        </w:rPr>
      </w:pPr>
      <w:r>
        <w:rPr>
          <w:sz w:val="28"/>
          <w:szCs w:val="28"/>
        </w:rPr>
        <w:lastRenderedPageBreak/>
        <w:t xml:space="preserve"> </w:t>
      </w:r>
    </w:p>
    <w:p w:rsidR="00C934FD" w:rsidRPr="00766436" w:rsidRDefault="005962E2">
      <w:pPr>
        <w:spacing w:before="4" w:after="0" w:line="239" w:lineRule="auto"/>
        <w:rPr>
          <w:sz w:val="44"/>
          <w:szCs w:val="44"/>
        </w:rPr>
      </w:pPr>
      <w:bookmarkStart w:id="1" w:name="_eeqbkdjjs5kh" w:colFirst="0" w:colLast="0"/>
      <w:bookmarkStart w:id="2" w:name="_xjrx26v14xlv" w:colFirst="0" w:colLast="0"/>
      <w:bookmarkEnd w:id="1"/>
      <w:bookmarkEnd w:id="2"/>
      <w:r w:rsidRPr="00766436">
        <w:rPr>
          <w:sz w:val="44"/>
          <w:szCs w:val="44"/>
        </w:rPr>
        <w:t xml:space="preserve">   </w:t>
      </w:r>
      <w:r w:rsidRPr="00766436">
        <w:rPr>
          <w:noProof/>
          <w:sz w:val="44"/>
          <w:szCs w:val="44"/>
          <w:lang w:val="en-US"/>
        </w:rPr>
        <w:drawing>
          <wp:inline distT="114300" distB="114300" distL="114300" distR="114300">
            <wp:extent cx="3531553" cy="2828925"/>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531553" cy="2828925"/>
                    </a:xfrm>
                    <a:prstGeom prst="rect">
                      <a:avLst/>
                    </a:prstGeom>
                    <a:ln/>
                  </pic:spPr>
                </pic:pic>
              </a:graphicData>
            </a:graphic>
          </wp:inline>
        </w:drawing>
      </w:r>
      <w:r w:rsidRPr="00766436">
        <w:rPr>
          <w:noProof/>
          <w:lang w:val="en-US"/>
        </w:rPr>
        <w:drawing>
          <wp:anchor distT="114300" distB="114300" distL="114300" distR="114300" simplePos="0" relativeHeight="251655168" behindDoc="0" locked="0" layoutInCell="1" hidden="0" allowOverlap="1">
            <wp:simplePos x="0" y="0"/>
            <wp:positionH relativeFrom="margin">
              <wp:posOffset>-95249</wp:posOffset>
            </wp:positionH>
            <wp:positionV relativeFrom="paragraph">
              <wp:posOffset>0</wp:posOffset>
            </wp:positionV>
            <wp:extent cx="2066925" cy="2821623"/>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066925" cy="2821623"/>
                    </a:xfrm>
                    <a:prstGeom prst="rect">
                      <a:avLst/>
                    </a:prstGeom>
                    <a:ln/>
                  </pic:spPr>
                </pic:pic>
              </a:graphicData>
            </a:graphic>
          </wp:anchor>
        </w:drawing>
      </w:r>
    </w:p>
    <w:p w:rsidR="00C934FD" w:rsidRDefault="00766436" w:rsidP="00766436">
      <w:pPr>
        <w:spacing w:before="4" w:after="0" w:line="239" w:lineRule="auto"/>
        <w:rPr>
          <w:b/>
          <w:sz w:val="44"/>
          <w:szCs w:val="44"/>
        </w:rPr>
      </w:pPr>
      <w:bookmarkStart w:id="3" w:name="_8i05x28yupzu" w:colFirst="0" w:colLast="0"/>
      <w:bookmarkStart w:id="4" w:name="_gjdgxs" w:colFirst="0" w:colLast="0"/>
      <w:bookmarkEnd w:id="3"/>
      <w:bookmarkEnd w:id="4"/>
      <w:r>
        <w:rPr>
          <w:b/>
          <w:sz w:val="44"/>
          <w:szCs w:val="44"/>
        </w:rPr>
        <w:t xml:space="preserve">        </w:t>
      </w:r>
      <w:r w:rsidR="005962E2">
        <w:rPr>
          <w:b/>
          <w:sz w:val="44"/>
          <w:szCs w:val="44"/>
        </w:rPr>
        <w:t xml:space="preserve">Programme </w:t>
      </w:r>
    </w:p>
    <w:p w:rsidR="00C934FD" w:rsidRDefault="00C934FD">
      <w:pPr>
        <w:spacing w:before="4" w:after="0" w:line="239" w:lineRule="auto"/>
      </w:pPr>
    </w:p>
    <w:tbl>
      <w:tblPr>
        <w:tblStyle w:val="a"/>
        <w:tblW w:w="104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30"/>
        <w:gridCol w:w="6804"/>
        <w:gridCol w:w="2160"/>
      </w:tblGrid>
      <w:tr w:rsidR="00C934FD" w:rsidTr="00C934FD">
        <w:trPr>
          <w:cnfStyle w:val="100000000000" w:firstRow="1" w:lastRow="0"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530" w:type="dxa"/>
            <w:shd w:val="clear" w:color="auto" w:fill="B7DDE8"/>
          </w:tcPr>
          <w:p w:rsidR="00C934FD" w:rsidRDefault="00C934FD"/>
        </w:tc>
        <w:tc>
          <w:tcPr>
            <w:cnfStyle w:val="000010000000" w:firstRow="0" w:lastRow="0" w:firstColumn="0" w:lastColumn="0" w:oddVBand="1" w:evenVBand="0" w:oddHBand="0" w:evenHBand="0" w:firstRowFirstColumn="0" w:firstRowLastColumn="0" w:lastRowFirstColumn="0" w:lastRowLastColumn="0"/>
            <w:tcW w:w="6804" w:type="dxa"/>
            <w:shd w:val="clear" w:color="auto" w:fill="B7DDE8"/>
            <w:vAlign w:val="center"/>
          </w:tcPr>
          <w:p w:rsidR="00C934FD" w:rsidRDefault="005962E2">
            <w:pPr>
              <w:spacing w:line="264" w:lineRule="auto"/>
              <w:ind w:left="2644" w:right="2625"/>
              <w:jc w:val="center"/>
              <w:rPr>
                <w:color w:val="000000"/>
                <w:sz w:val="32"/>
                <w:szCs w:val="32"/>
              </w:rPr>
            </w:pPr>
            <w:r>
              <w:rPr>
                <w:color w:val="000000"/>
                <w:sz w:val="36"/>
                <w:szCs w:val="36"/>
              </w:rPr>
              <w:t>Activity</w:t>
            </w:r>
          </w:p>
        </w:tc>
        <w:tc>
          <w:tcPr>
            <w:cnfStyle w:val="000100000000" w:firstRow="0" w:lastRow="0" w:firstColumn="0" w:lastColumn="1" w:oddVBand="0" w:evenVBand="0" w:oddHBand="0" w:evenHBand="0" w:firstRowFirstColumn="0" w:firstRowLastColumn="0" w:lastRowFirstColumn="0" w:lastRowLastColumn="0"/>
            <w:tcW w:w="2160" w:type="dxa"/>
            <w:shd w:val="clear" w:color="auto" w:fill="B7DDE8"/>
            <w:vAlign w:val="center"/>
          </w:tcPr>
          <w:p w:rsidR="00C934FD" w:rsidRDefault="005962E2">
            <w:pPr>
              <w:spacing w:line="264" w:lineRule="auto"/>
              <w:ind w:left="100" w:right="-20"/>
              <w:jc w:val="center"/>
              <w:rPr>
                <w:color w:val="000000"/>
                <w:sz w:val="24"/>
                <w:szCs w:val="24"/>
              </w:rPr>
            </w:pPr>
            <w:r>
              <w:rPr>
                <w:color w:val="000000"/>
                <w:sz w:val="24"/>
                <w:szCs w:val="24"/>
              </w:rPr>
              <w:t>Presenter/</w:t>
            </w:r>
          </w:p>
          <w:p w:rsidR="00C934FD" w:rsidRDefault="005962E2">
            <w:pPr>
              <w:ind w:left="100" w:right="-20"/>
              <w:jc w:val="center"/>
              <w:rPr>
                <w:color w:val="000000"/>
                <w:sz w:val="32"/>
                <w:szCs w:val="32"/>
              </w:rPr>
            </w:pPr>
            <w:r>
              <w:rPr>
                <w:color w:val="000000"/>
                <w:sz w:val="24"/>
                <w:szCs w:val="24"/>
              </w:rPr>
              <w:t>Facilitator</w:t>
            </w:r>
          </w:p>
        </w:tc>
      </w:tr>
      <w:tr w:rsidR="00C934FD" w:rsidTr="00C934F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30" w:type="dxa"/>
            <w:vAlign w:val="center"/>
          </w:tcPr>
          <w:p w:rsidR="00C934FD" w:rsidRDefault="005962E2">
            <w:pPr>
              <w:spacing w:line="264" w:lineRule="auto"/>
              <w:ind w:right="392"/>
              <w:jc w:val="center"/>
              <w:rPr>
                <w:color w:val="000000"/>
              </w:rPr>
            </w:pPr>
            <w:r>
              <w:rPr>
                <w:color w:val="000000"/>
              </w:rPr>
              <w:t>13</w:t>
            </w:r>
            <w:r>
              <w:rPr>
                <w:color w:val="000000"/>
              </w:rPr>
              <w:t>.30</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4BACC6"/>
            <w:vAlign w:val="center"/>
          </w:tcPr>
          <w:p w:rsidR="00C934FD" w:rsidRDefault="005962E2">
            <w:pPr>
              <w:spacing w:line="264" w:lineRule="auto"/>
              <w:ind w:right="-20"/>
              <w:jc w:val="center"/>
              <w:rPr>
                <w:b/>
                <w:color w:val="000000"/>
              </w:rPr>
            </w:pPr>
            <w:r>
              <w:rPr>
                <w:b/>
                <w:color w:val="000000"/>
              </w:rPr>
              <w:t>Arrival, coffee and registration</w:t>
            </w:r>
          </w:p>
        </w:tc>
        <w:tc>
          <w:tcPr>
            <w:cnfStyle w:val="000100000000" w:firstRow="0" w:lastRow="0" w:firstColumn="0" w:lastColumn="1" w:oddVBand="0" w:evenVBand="0" w:oddHBand="0" w:evenHBand="0" w:firstRowFirstColumn="0" w:firstRowLastColumn="0" w:lastRowFirstColumn="0" w:lastRowLastColumn="0"/>
            <w:tcW w:w="2160" w:type="dxa"/>
            <w:vAlign w:val="center"/>
          </w:tcPr>
          <w:p w:rsidR="00C934FD" w:rsidRDefault="00C934FD">
            <w:pPr>
              <w:jc w:val="center"/>
            </w:pPr>
          </w:p>
        </w:tc>
      </w:tr>
      <w:tr w:rsidR="00C934FD" w:rsidTr="00C934FD">
        <w:trPr>
          <w:trHeight w:val="840"/>
        </w:trPr>
        <w:tc>
          <w:tcPr>
            <w:cnfStyle w:val="001000000000" w:firstRow="0" w:lastRow="0" w:firstColumn="1" w:lastColumn="0" w:oddVBand="0" w:evenVBand="0" w:oddHBand="0" w:evenHBand="0" w:firstRowFirstColumn="0" w:firstRowLastColumn="0" w:lastRowFirstColumn="0" w:lastRowLastColumn="0"/>
            <w:tcW w:w="1530" w:type="dxa"/>
            <w:shd w:val="clear" w:color="auto" w:fill="B7DDE8"/>
            <w:vAlign w:val="center"/>
          </w:tcPr>
          <w:p w:rsidR="00C934FD" w:rsidRDefault="005962E2">
            <w:pPr>
              <w:spacing w:line="264" w:lineRule="auto"/>
              <w:ind w:right="392"/>
              <w:jc w:val="center"/>
              <w:rPr>
                <w:color w:val="000000"/>
              </w:rPr>
            </w:pPr>
            <w:r>
              <w:rPr>
                <w:color w:val="000000"/>
              </w:rPr>
              <w:t>1</w:t>
            </w:r>
            <w:r>
              <w:rPr>
                <w:color w:val="000000"/>
              </w:rPr>
              <w:t>4</w:t>
            </w:r>
            <w:r>
              <w:rPr>
                <w:color w:val="000000"/>
              </w:rPr>
              <w:t>.00</w:t>
            </w:r>
          </w:p>
        </w:tc>
        <w:tc>
          <w:tcPr>
            <w:cnfStyle w:val="000010000000" w:firstRow="0" w:lastRow="0" w:firstColumn="0" w:lastColumn="0" w:oddVBand="1" w:evenVBand="0" w:oddHBand="0" w:evenHBand="0" w:firstRowFirstColumn="0" w:firstRowLastColumn="0" w:lastRowFirstColumn="0" w:lastRowLastColumn="0"/>
            <w:tcW w:w="6804" w:type="dxa"/>
            <w:vAlign w:val="center"/>
          </w:tcPr>
          <w:p w:rsidR="00C934FD" w:rsidRDefault="005962E2">
            <w:pPr>
              <w:spacing w:line="264" w:lineRule="auto"/>
              <w:ind w:left="360" w:right="-20"/>
              <w:jc w:val="center"/>
              <w:rPr>
                <w:b/>
                <w:color w:val="000000"/>
              </w:rPr>
            </w:pPr>
            <w:r>
              <w:rPr>
                <w:b/>
                <w:color w:val="000000"/>
              </w:rPr>
              <w:t>Welcome</w:t>
            </w:r>
          </w:p>
          <w:p w:rsidR="00C934FD" w:rsidRDefault="00C934FD">
            <w:pPr>
              <w:tabs>
                <w:tab w:val="left" w:pos="820"/>
              </w:tabs>
              <w:spacing w:before="9" w:line="266" w:lineRule="auto"/>
              <w:ind w:right="477"/>
              <w:jc w:val="center"/>
              <w:rPr>
                <w:b/>
                <w:color w:val="000000"/>
              </w:rPr>
            </w:pPr>
          </w:p>
        </w:tc>
        <w:tc>
          <w:tcPr>
            <w:cnfStyle w:val="000100000000" w:firstRow="0" w:lastRow="0" w:firstColumn="0" w:lastColumn="1" w:oddVBand="0" w:evenVBand="0" w:oddHBand="0" w:evenHBand="0" w:firstRowFirstColumn="0" w:firstRowLastColumn="0" w:lastRowFirstColumn="0" w:lastRowLastColumn="0"/>
            <w:tcW w:w="2160" w:type="dxa"/>
            <w:shd w:val="clear" w:color="auto" w:fill="B7DDE8"/>
            <w:vAlign w:val="center"/>
          </w:tcPr>
          <w:p w:rsidR="00C934FD" w:rsidRDefault="005962E2">
            <w:pPr>
              <w:ind w:left="100" w:right="-20"/>
              <w:jc w:val="center"/>
              <w:rPr>
                <w:color w:val="000000"/>
              </w:rPr>
            </w:pPr>
            <w:r>
              <w:rPr>
                <w:color w:val="000000"/>
              </w:rPr>
              <w:t>Liz Sharp TWENTY65</w:t>
            </w:r>
          </w:p>
        </w:tc>
      </w:tr>
      <w:tr w:rsidR="00C934FD" w:rsidTr="00C934FD">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530" w:type="dxa"/>
            <w:shd w:val="clear" w:color="auto" w:fill="B7DDE8"/>
            <w:vAlign w:val="center"/>
          </w:tcPr>
          <w:p w:rsidR="00C934FD" w:rsidRDefault="005962E2">
            <w:pPr>
              <w:spacing w:line="264" w:lineRule="auto"/>
              <w:ind w:left="254" w:right="-20"/>
              <w:rPr>
                <w:color w:val="000000"/>
              </w:rPr>
            </w:pPr>
            <w:r>
              <w:rPr>
                <w:color w:val="000000"/>
              </w:rPr>
              <w:t>1</w:t>
            </w:r>
            <w:r>
              <w:rPr>
                <w:color w:val="000000"/>
              </w:rPr>
              <w:t>4</w:t>
            </w:r>
            <w:r>
              <w:rPr>
                <w:color w:val="000000"/>
              </w:rPr>
              <w:t>.1</w:t>
            </w:r>
            <w:r>
              <w:rPr>
                <w:color w:val="000000"/>
              </w:rPr>
              <w:t>0</w:t>
            </w:r>
          </w:p>
        </w:tc>
        <w:tc>
          <w:tcPr>
            <w:cnfStyle w:val="000010000000" w:firstRow="0" w:lastRow="0" w:firstColumn="0" w:lastColumn="0" w:oddVBand="1" w:evenVBand="0" w:oddHBand="0" w:evenHBand="0" w:firstRowFirstColumn="0" w:firstRowLastColumn="0" w:lastRowFirstColumn="0" w:lastRowLastColumn="0"/>
            <w:tcW w:w="6804" w:type="dxa"/>
            <w:vAlign w:val="center"/>
          </w:tcPr>
          <w:p w:rsidR="00C934FD" w:rsidRDefault="005962E2">
            <w:pPr>
              <w:tabs>
                <w:tab w:val="left" w:pos="820"/>
              </w:tabs>
              <w:spacing w:before="9" w:line="266" w:lineRule="auto"/>
              <w:ind w:left="360" w:right="477"/>
              <w:jc w:val="center"/>
              <w:rPr>
                <w:b/>
                <w:color w:val="000000"/>
              </w:rPr>
            </w:pPr>
            <w:r>
              <w:rPr>
                <w:b/>
                <w:color w:val="000000"/>
              </w:rPr>
              <w:t>Introduction to Raynsford Review of Planning</w:t>
            </w:r>
          </w:p>
          <w:p w:rsidR="00C934FD" w:rsidRDefault="00C934FD">
            <w:pPr>
              <w:tabs>
                <w:tab w:val="left" w:pos="820"/>
              </w:tabs>
              <w:spacing w:before="9" w:after="200" w:line="266" w:lineRule="auto"/>
              <w:ind w:left="720" w:right="477"/>
              <w:jc w:val="center"/>
              <w:rPr>
                <w:b/>
                <w:color w:val="000000"/>
              </w:rPr>
            </w:pPr>
          </w:p>
        </w:tc>
        <w:tc>
          <w:tcPr>
            <w:cnfStyle w:val="000100000000" w:firstRow="0" w:lastRow="0" w:firstColumn="0" w:lastColumn="1" w:oddVBand="0" w:evenVBand="0" w:oddHBand="0" w:evenHBand="0" w:firstRowFirstColumn="0" w:firstRowLastColumn="0" w:lastRowFirstColumn="0" w:lastRowLastColumn="0"/>
            <w:tcW w:w="2160" w:type="dxa"/>
            <w:shd w:val="clear" w:color="auto" w:fill="B7DDE8"/>
            <w:vAlign w:val="center"/>
          </w:tcPr>
          <w:p w:rsidR="00C934FD" w:rsidRDefault="00C934FD">
            <w:pPr>
              <w:spacing w:before="4" w:line="130" w:lineRule="auto"/>
              <w:jc w:val="center"/>
              <w:rPr>
                <w:color w:val="000000"/>
                <w:sz w:val="13"/>
                <w:szCs w:val="13"/>
              </w:rPr>
            </w:pPr>
          </w:p>
          <w:p w:rsidR="00C934FD" w:rsidRDefault="005962E2">
            <w:pPr>
              <w:ind w:left="93" w:right="-20"/>
              <w:jc w:val="center"/>
              <w:rPr>
                <w:color w:val="000000"/>
              </w:rPr>
            </w:pPr>
            <w:r>
              <w:rPr>
                <w:color w:val="000000"/>
              </w:rPr>
              <w:t>Hugh Ellis</w:t>
            </w:r>
          </w:p>
          <w:p w:rsidR="00C934FD" w:rsidRDefault="005962E2">
            <w:pPr>
              <w:ind w:left="93" w:right="-20"/>
              <w:jc w:val="center"/>
              <w:rPr>
                <w:color w:val="000000"/>
              </w:rPr>
            </w:pPr>
            <w:r>
              <w:rPr>
                <w:color w:val="000000"/>
              </w:rPr>
              <w:t>Town &amp; Country Planning Association</w:t>
            </w:r>
          </w:p>
        </w:tc>
      </w:tr>
      <w:tr w:rsidR="00C934FD" w:rsidTr="00C934FD">
        <w:trPr>
          <w:trHeight w:val="840"/>
        </w:trPr>
        <w:tc>
          <w:tcPr>
            <w:cnfStyle w:val="001000000000" w:firstRow="0" w:lastRow="0" w:firstColumn="1" w:lastColumn="0" w:oddVBand="0" w:evenVBand="0" w:oddHBand="0" w:evenHBand="0" w:firstRowFirstColumn="0" w:firstRowLastColumn="0" w:lastRowFirstColumn="0" w:lastRowLastColumn="0"/>
            <w:tcW w:w="1530" w:type="dxa"/>
            <w:vAlign w:val="center"/>
          </w:tcPr>
          <w:p w:rsidR="00C934FD" w:rsidRDefault="005962E2">
            <w:pPr>
              <w:spacing w:line="264" w:lineRule="auto"/>
              <w:ind w:left="254" w:right="-20"/>
              <w:rPr>
                <w:color w:val="000000"/>
              </w:rPr>
            </w:pPr>
            <w:r>
              <w:rPr>
                <w:color w:val="000000"/>
              </w:rPr>
              <w:t>1</w:t>
            </w:r>
            <w:r>
              <w:rPr>
                <w:color w:val="000000"/>
              </w:rPr>
              <w:t>4</w:t>
            </w:r>
            <w:r>
              <w:rPr>
                <w:color w:val="000000"/>
              </w:rPr>
              <w:t>.</w:t>
            </w:r>
            <w:r>
              <w:rPr>
                <w:color w:val="000000"/>
              </w:rPr>
              <w:t>20</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4BACC6"/>
            <w:vAlign w:val="center"/>
          </w:tcPr>
          <w:p w:rsidR="00C934FD" w:rsidRDefault="00C934FD">
            <w:pPr>
              <w:spacing w:line="276" w:lineRule="auto"/>
              <w:ind w:left="284" w:right="130"/>
              <w:jc w:val="center"/>
              <w:rPr>
                <w:b/>
                <w:color w:val="000000"/>
              </w:rPr>
            </w:pPr>
          </w:p>
          <w:p w:rsidR="00C934FD" w:rsidRDefault="005962E2">
            <w:pPr>
              <w:spacing w:line="276" w:lineRule="auto"/>
              <w:ind w:left="284" w:right="130"/>
              <w:jc w:val="center"/>
              <w:rPr>
                <w:b/>
                <w:color w:val="000000"/>
              </w:rPr>
            </w:pPr>
            <w:r>
              <w:rPr>
                <w:b/>
                <w:color w:val="000000"/>
              </w:rPr>
              <w:t>Discussion in break out groups: water supply issues, flood management issues, water quality issues</w:t>
            </w:r>
          </w:p>
          <w:p w:rsidR="00C934FD" w:rsidRDefault="00C934FD">
            <w:pPr>
              <w:spacing w:line="276" w:lineRule="auto"/>
              <w:ind w:left="284" w:right="130"/>
              <w:jc w:val="center"/>
              <w:rPr>
                <w:b/>
                <w:color w:val="000000"/>
              </w:rPr>
            </w:pPr>
          </w:p>
          <w:p w:rsidR="00C934FD" w:rsidRDefault="00C934FD">
            <w:pPr>
              <w:spacing w:after="200" w:line="276" w:lineRule="auto"/>
              <w:ind w:left="284" w:right="130"/>
              <w:jc w:val="center"/>
              <w:rPr>
                <w:b/>
                <w:color w:val="000000"/>
              </w:rPr>
            </w:pPr>
          </w:p>
        </w:tc>
        <w:tc>
          <w:tcPr>
            <w:cnfStyle w:val="000100000000" w:firstRow="0" w:lastRow="0" w:firstColumn="0" w:lastColumn="1" w:oddVBand="0" w:evenVBand="0" w:oddHBand="0" w:evenHBand="0" w:firstRowFirstColumn="0" w:firstRowLastColumn="0" w:lastRowFirstColumn="0" w:lastRowLastColumn="0"/>
            <w:tcW w:w="2160" w:type="dxa"/>
            <w:vAlign w:val="center"/>
          </w:tcPr>
          <w:p w:rsidR="00C934FD" w:rsidRDefault="005962E2">
            <w:pPr>
              <w:jc w:val="center"/>
              <w:rPr>
                <w:color w:val="000000"/>
              </w:rPr>
            </w:pPr>
            <w:r>
              <w:rPr>
                <w:color w:val="000000"/>
              </w:rPr>
              <w:t>All</w:t>
            </w:r>
          </w:p>
        </w:tc>
      </w:tr>
      <w:tr w:rsidR="00C934FD" w:rsidTr="00C934F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530" w:type="dxa"/>
            <w:shd w:val="clear" w:color="auto" w:fill="B7DDE8"/>
            <w:vAlign w:val="center"/>
          </w:tcPr>
          <w:p w:rsidR="00C934FD" w:rsidRDefault="005962E2">
            <w:pPr>
              <w:spacing w:line="264" w:lineRule="auto"/>
              <w:ind w:left="254" w:right="-20"/>
              <w:rPr>
                <w:color w:val="000000"/>
              </w:rPr>
            </w:pPr>
            <w:r>
              <w:rPr>
                <w:color w:val="000000"/>
              </w:rPr>
              <w:t>15.</w:t>
            </w:r>
            <w:r>
              <w:rPr>
                <w:color w:val="000000"/>
              </w:rPr>
              <w:t>20</w:t>
            </w:r>
          </w:p>
        </w:tc>
        <w:tc>
          <w:tcPr>
            <w:cnfStyle w:val="000010000000" w:firstRow="0" w:lastRow="0" w:firstColumn="0" w:lastColumn="0" w:oddVBand="1" w:evenVBand="0" w:oddHBand="0" w:evenHBand="0" w:firstRowFirstColumn="0" w:firstRowLastColumn="0" w:lastRowFirstColumn="0" w:lastRowLastColumn="0"/>
            <w:tcW w:w="6804" w:type="dxa"/>
            <w:vAlign w:val="center"/>
          </w:tcPr>
          <w:p w:rsidR="00C934FD" w:rsidRDefault="005962E2">
            <w:pPr>
              <w:ind w:right="129"/>
              <w:jc w:val="center"/>
              <w:rPr>
                <w:b/>
                <w:color w:val="000000"/>
              </w:rPr>
            </w:pPr>
            <w:r>
              <w:rPr>
                <w:b/>
                <w:color w:val="000000"/>
              </w:rPr>
              <w:t>Feedback from groups on what new solutions are required</w:t>
            </w:r>
          </w:p>
          <w:p w:rsidR="00C934FD" w:rsidRDefault="00C934FD">
            <w:pPr>
              <w:ind w:right="129"/>
              <w:jc w:val="center"/>
              <w:rPr>
                <w:b/>
                <w:color w:val="000000"/>
              </w:rPr>
            </w:pPr>
          </w:p>
        </w:tc>
        <w:tc>
          <w:tcPr>
            <w:cnfStyle w:val="000100000000" w:firstRow="0" w:lastRow="0" w:firstColumn="0" w:lastColumn="1" w:oddVBand="0" w:evenVBand="0" w:oddHBand="0" w:evenHBand="0" w:firstRowFirstColumn="0" w:firstRowLastColumn="0" w:lastRowFirstColumn="0" w:lastRowLastColumn="0"/>
            <w:tcW w:w="2160" w:type="dxa"/>
            <w:vAlign w:val="center"/>
          </w:tcPr>
          <w:p w:rsidR="00C934FD" w:rsidRDefault="005962E2">
            <w:pPr>
              <w:jc w:val="center"/>
              <w:rPr>
                <w:color w:val="000000"/>
              </w:rPr>
            </w:pPr>
            <w:r>
              <w:rPr>
                <w:color w:val="000000"/>
              </w:rPr>
              <w:t>All</w:t>
            </w:r>
          </w:p>
        </w:tc>
      </w:tr>
      <w:tr w:rsidR="00C934FD" w:rsidTr="00C934FD">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530" w:type="dxa"/>
            <w:vAlign w:val="center"/>
          </w:tcPr>
          <w:p w:rsidR="00C934FD" w:rsidRDefault="005962E2">
            <w:pPr>
              <w:spacing w:line="267" w:lineRule="auto"/>
              <w:ind w:left="395" w:right="-20"/>
              <w:rPr>
                <w:color w:val="000000"/>
              </w:rPr>
            </w:pPr>
            <w:r>
              <w:rPr>
                <w:color w:val="000000"/>
              </w:rPr>
              <w:t>1</w:t>
            </w:r>
            <w:r>
              <w:rPr>
                <w:color w:val="000000"/>
              </w:rPr>
              <w:t>6</w:t>
            </w:r>
            <w:r>
              <w:rPr>
                <w:color w:val="000000"/>
              </w:rPr>
              <w:t>.00</w:t>
            </w:r>
          </w:p>
        </w:tc>
        <w:tc>
          <w:tcPr>
            <w:cnfStyle w:val="000010000000" w:firstRow="0" w:lastRow="0" w:firstColumn="0" w:lastColumn="0" w:oddVBand="1" w:evenVBand="0" w:oddHBand="0" w:evenHBand="0" w:firstRowFirstColumn="0" w:firstRowLastColumn="0" w:lastRowFirstColumn="0" w:lastRowLastColumn="0"/>
            <w:tcW w:w="6804" w:type="dxa"/>
            <w:vAlign w:val="center"/>
          </w:tcPr>
          <w:p w:rsidR="00C934FD" w:rsidRDefault="005962E2">
            <w:pPr>
              <w:spacing w:line="264" w:lineRule="auto"/>
              <w:ind w:right="-20"/>
              <w:jc w:val="center"/>
              <w:rPr>
                <w:color w:val="000000"/>
              </w:rPr>
            </w:pPr>
            <w:r>
              <w:rPr>
                <w:color w:val="000000"/>
              </w:rPr>
              <w:t xml:space="preserve">Tea </w:t>
            </w:r>
          </w:p>
          <w:p w:rsidR="00C934FD" w:rsidRDefault="005962E2">
            <w:pPr>
              <w:spacing w:line="264" w:lineRule="auto"/>
              <w:ind w:right="-20"/>
              <w:jc w:val="center"/>
              <w:rPr>
                <w:b w:val="0"/>
                <w:color w:val="000000"/>
              </w:rPr>
            </w:pPr>
            <w:r>
              <w:rPr>
                <w:color w:val="000000"/>
              </w:rPr>
              <w:t>and close</w:t>
            </w:r>
          </w:p>
        </w:tc>
        <w:tc>
          <w:tcPr>
            <w:cnfStyle w:val="000100000000" w:firstRow="0" w:lastRow="0" w:firstColumn="0" w:lastColumn="1" w:oddVBand="0" w:evenVBand="0" w:oddHBand="0" w:evenHBand="0" w:firstRowFirstColumn="0" w:firstRowLastColumn="0" w:lastRowFirstColumn="0" w:lastRowLastColumn="0"/>
            <w:tcW w:w="2160" w:type="dxa"/>
            <w:shd w:val="clear" w:color="auto" w:fill="B7DDE8"/>
            <w:vAlign w:val="center"/>
          </w:tcPr>
          <w:p w:rsidR="00C934FD" w:rsidRDefault="005962E2">
            <w:pPr>
              <w:ind w:left="100" w:right="-20"/>
              <w:jc w:val="center"/>
              <w:rPr>
                <w:color w:val="000000"/>
              </w:rPr>
            </w:pPr>
            <w:r>
              <w:rPr>
                <w:color w:val="000000"/>
              </w:rPr>
              <w:t>Liz Sharp</w:t>
            </w:r>
          </w:p>
          <w:p w:rsidR="00C934FD" w:rsidRDefault="005962E2">
            <w:pPr>
              <w:ind w:left="100" w:right="-20"/>
              <w:jc w:val="center"/>
              <w:rPr>
                <w:color w:val="000000"/>
              </w:rPr>
            </w:pPr>
            <w:r>
              <w:rPr>
                <w:color w:val="000000"/>
              </w:rPr>
              <w:t>Hugh Ellis</w:t>
            </w:r>
          </w:p>
        </w:tc>
      </w:tr>
    </w:tbl>
    <w:p w:rsidR="00C934FD" w:rsidRDefault="00C934FD">
      <w:pPr>
        <w:rPr>
          <w:b/>
          <w:sz w:val="28"/>
          <w:szCs w:val="28"/>
        </w:rPr>
      </w:pPr>
    </w:p>
    <w:sectPr w:rsidR="00C934FD">
      <w:headerReference w:type="default" r:id="rId12"/>
      <w:pgSz w:w="11906" w:h="16838"/>
      <w:pgMar w:top="1440" w:right="707" w:bottom="1276" w:left="709" w:header="708" w:footer="5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2E2" w:rsidRDefault="005962E2">
      <w:pPr>
        <w:spacing w:after="0" w:line="240" w:lineRule="auto"/>
      </w:pPr>
      <w:r>
        <w:separator/>
      </w:r>
    </w:p>
  </w:endnote>
  <w:endnote w:type="continuationSeparator" w:id="0">
    <w:p w:rsidR="005962E2" w:rsidRDefault="0059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2E2" w:rsidRDefault="005962E2">
      <w:pPr>
        <w:spacing w:after="0" w:line="240" w:lineRule="auto"/>
      </w:pPr>
      <w:r>
        <w:separator/>
      </w:r>
    </w:p>
  </w:footnote>
  <w:footnote w:type="continuationSeparator" w:id="0">
    <w:p w:rsidR="005962E2" w:rsidRDefault="0059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FD" w:rsidRDefault="005962E2">
    <w:pPr>
      <w:tabs>
        <w:tab w:val="center" w:pos="4513"/>
        <w:tab w:val="right" w:pos="9026"/>
      </w:tabs>
      <w:spacing w:after="0" w:line="240" w:lineRule="auto"/>
      <w:jc w:val="center"/>
    </w:pPr>
    <w:r>
      <w:rPr>
        <w:noProof/>
        <w:lang w:val="en-US"/>
      </w:rPr>
      <w:drawing>
        <wp:inline distT="0" distB="0" distL="0" distR="0">
          <wp:extent cx="3955406" cy="325522"/>
          <wp:effectExtent l="0" t="0" r="0" b="0"/>
          <wp:docPr id="4" name="image10.jpg" descr="C:\Users\user\AppData\Local\Microsoft\Windows\INetCache\Content.Word\TWENTY65 Dots.jpg"/>
          <wp:cNvGraphicFramePr/>
          <a:graphic xmlns:a="http://schemas.openxmlformats.org/drawingml/2006/main">
            <a:graphicData uri="http://schemas.openxmlformats.org/drawingml/2006/picture">
              <pic:pic xmlns:pic="http://schemas.openxmlformats.org/drawingml/2006/picture">
                <pic:nvPicPr>
                  <pic:cNvPr id="0" name="image10.jpg" descr="C:\Users\user\AppData\Local\Microsoft\Windows\INetCache\Content.Word\TWENTY65 Dots.jpg"/>
                  <pic:cNvPicPr preferRelativeResize="0"/>
                </pic:nvPicPr>
                <pic:blipFill>
                  <a:blip r:embed="rId1"/>
                  <a:srcRect/>
                  <a:stretch>
                    <a:fillRect/>
                  </a:stretch>
                </pic:blipFill>
                <pic:spPr>
                  <a:xfrm>
                    <a:off x="0" y="0"/>
                    <a:ext cx="3955406" cy="32552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160C71"/>
    <w:multiLevelType w:val="multilevel"/>
    <w:tmpl w:val="19588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FD"/>
    <w:rsid w:val="005962E2"/>
    <w:rsid w:val="00766436"/>
    <w:rsid w:val="00C93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72EAF-EEDD-4E17-918C-799BB4A7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ed1ljf</dc:creator>
  <cp:lastModifiedBy>ed1ljf</cp:lastModifiedBy>
  <cp:revision>2</cp:revision>
  <dcterms:created xsi:type="dcterms:W3CDTF">2017-12-01T12:46:00Z</dcterms:created>
  <dcterms:modified xsi:type="dcterms:W3CDTF">2017-12-01T12:46:00Z</dcterms:modified>
</cp:coreProperties>
</file>